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5EA3F" w14:textId="77777777" w:rsidR="00D238F1" w:rsidRDefault="00D238F1" w:rsidP="00D238F1">
      <w:pPr>
        <w:pStyle w:val="Agenda"/>
        <w:spacing w:before="240" w:after="0"/>
        <w:outlineLvl w:val="0"/>
        <w:rPr>
          <w:rFonts w:ascii="Arial" w:hAnsi="Arial" w:cs="Arial"/>
          <w:szCs w:val="32"/>
        </w:rPr>
      </w:pPr>
      <w:bookmarkStart w:id="0" w:name="_GoBack"/>
      <w:bookmarkEnd w:id="0"/>
      <w:r>
        <w:rPr>
          <w:rFonts w:ascii="Arial" w:hAnsi="Arial" w:cs="Arial"/>
          <w:szCs w:val="32"/>
        </w:rPr>
        <w:t xml:space="preserve">Digest of Meeting  </w:t>
      </w:r>
    </w:p>
    <w:p w14:paraId="7C85EA40" w14:textId="77777777" w:rsidR="00D238F1" w:rsidRDefault="00D238F1" w:rsidP="00D238F1">
      <w:pPr>
        <w:pStyle w:val="Agenda"/>
        <w:spacing w:after="0"/>
        <w:rPr>
          <w:rFonts w:ascii="Arial" w:hAnsi="Arial" w:cs="Arial"/>
          <w:szCs w:val="32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7067"/>
      </w:tblGrid>
      <w:tr w:rsidR="00D238F1" w:rsidRPr="00832CEA" w14:paraId="7C85EA43" w14:textId="77777777" w:rsidTr="002E349E">
        <w:trPr>
          <w:trHeight w:val="356"/>
        </w:trPr>
        <w:tc>
          <w:tcPr>
            <w:tcW w:w="2147" w:type="dxa"/>
            <w:tcBorders>
              <w:top w:val="single" w:sz="6" w:space="0" w:color="auto"/>
            </w:tcBorders>
          </w:tcPr>
          <w:p w14:paraId="7C85EA41" w14:textId="77777777" w:rsidR="00D238F1" w:rsidRPr="00832CEA" w:rsidRDefault="00D238F1" w:rsidP="002E349E">
            <w:pPr>
              <w:pStyle w:val="CtteeName"/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 w:rsidRPr="00832CEA">
              <w:rPr>
                <w:rFonts w:ascii="Arial" w:hAnsi="Arial" w:cs="Arial"/>
                <w:sz w:val="22"/>
                <w:szCs w:val="22"/>
              </w:rPr>
              <w:t xml:space="preserve">Title:                                </w:t>
            </w:r>
          </w:p>
        </w:tc>
        <w:tc>
          <w:tcPr>
            <w:tcW w:w="7067" w:type="dxa"/>
            <w:tcBorders>
              <w:top w:val="single" w:sz="6" w:space="0" w:color="auto"/>
            </w:tcBorders>
          </w:tcPr>
          <w:p w14:paraId="7C85EA42" w14:textId="77777777" w:rsidR="00D238F1" w:rsidRPr="00832CEA" w:rsidRDefault="00D238F1" w:rsidP="002E349E">
            <w:pPr>
              <w:pStyle w:val="Locationetc"/>
              <w:spacing w:before="80" w:after="80"/>
              <w:rPr>
                <w:rFonts w:ascii="Arial" w:hAnsi="Arial" w:cs="Arial"/>
                <w:szCs w:val="22"/>
              </w:rPr>
            </w:pPr>
            <w:r w:rsidRPr="00832CEA">
              <w:rPr>
                <w:rFonts w:ascii="Arial" w:hAnsi="Arial" w:cs="Arial"/>
                <w:szCs w:val="22"/>
              </w:rPr>
              <w:t>Councillors’ Forum</w:t>
            </w:r>
          </w:p>
        </w:tc>
      </w:tr>
      <w:tr w:rsidR="00D238F1" w:rsidRPr="00832CEA" w14:paraId="7C85EA46" w14:textId="77777777" w:rsidTr="002E349E">
        <w:trPr>
          <w:trHeight w:val="349"/>
        </w:trPr>
        <w:tc>
          <w:tcPr>
            <w:tcW w:w="2147" w:type="dxa"/>
          </w:tcPr>
          <w:p w14:paraId="7C85EA44" w14:textId="77777777" w:rsidR="00D238F1" w:rsidRPr="00832CEA" w:rsidRDefault="00D238F1" w:rsidP="002E349E">
            <w:pPr>
              <w:pStyle w:val="CtteeName"/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Pr="00832CEA">
              <w:rPr>
                <w:rFonts w:ascii="Arial" w:hAnsi="Arial" w:cs="Arial"/>
                <w:sz w:val="22"/>
                <w:szCs w:val="22"/>
              </w:rPr>
              <w:t xml:space="preserve">and time:                </w:t>
            </w:r>
          </w:p>
        </w:tc>
        <w:tc>
          <w:tcPr>
            <w:tcW w:w="7067" w:type="dxa"/>
          </w:tcPr>
          <w:p w14:paraId="7C85EA45" w14:textId="77777777" w:rsidR="00D238F1" w:rsidRPr="00832CEA" w:rsidRDefault="003E13F4" w:rsidP="002E349E">
            <w:pPr>
              <w:pStyle w:val="CtteeName"/>
              <w:spacing w:before="80" w:after="8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21 November</w:t>
            </w:r>
            <w:r w:rsidR="00435A9C">
              <w:rPr>
                <w:rFonts w:ascii="Arial" w:hAnsi="Arial" w:cs="Arial"/>
                <w:b w:val="0"/>
                <w:sz w:val="22"/>
                <w:szCs w:val="22"/>
              </w:rPr>
              <w:t xml:space="preserve"> 2013, 12.30</w:t>
            </w:r>
            <w:r w:rsidR="00D238F1">
              <w:rPr>
                <w:rFonts w:ascii="Arial" w:hAnsi="Arial" w:cs="Arial"/>
                <w:b w:val="0"/>
                <w:sz w:val="22"/>
                <w:szCs w:val="22"/>
              </w:rPr>
              <w:t>pm</w:t>
            </w:r>
          </w:p>
        </w:tc>
      </w:tr>
      <w:tr w:rsidR="00D238F1" w:rsidRPr="00832CEA" w14:paraId="7C85EA49" w14:textId="77777777" w:rsidTr="002E349E">
        <w:trPr>
          <w:trHeight w:val="412"/>
        </w:trPr>
        <w:tc>
          <w:tcPr>
            <w:tcW w:w="2147" w:type="dxa"/>
            <w:tcBorders>
              <w:bottom w:val="single" w:sz="6" w:space="0" w:color="auto"/>
            </w:tcBorders>
          </w:tcPr>
          <w:p w14:paraId="7C85EA47" w14:textId="77777777" w:rsidR="00D238F1" w:rsidRPr="00832CEA" w:rsidRDefault="00D238F1" w:rsidP="002E349E">
            <w:pPr>
              <w:pStyle w:val="CtteeName"/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 w:rsidRPr="00832CEA">
              <w:rPr>
                <w:rFonts w:ascii="Arial" w:hAnsi="Arial" w:cs="Arial"/>
                <w:sz w:val="22"/>
                <w:szCs w:val="22"/>
              </w:rPr>
              <w:t>Venue:</w:t>
            </w:r>
          </w:p>
        </w:tc>
        <w:tc>
          <w:tcPr>
            <w:tcW w:w="7067" w:type="dxa"/>
            <w:tcBorders>
              <w:bottom w:val="single" w:sz="6" w:space="0" w:color="auto"/>
            </w:tcBorders>
          </w:tcPr>
          <w:p w14:paraId="7C85EA48" w14:textId="77777777" w:rsidR="00D238F1" w:rsidRPr="00832CEA" w:rsidRDefault="00D238F1" w:rsidP="002E349E">
            <w:pPr>
              <w:pStyle w:val="CtteeName"/>
              <w:spacing w:before="80" w:after="8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2CEA">
              <w:rPr>
                <w:rFonts w:ascii="Arial" w:hAnsi="Arial" w:cs="Arial"/>
                <w:b w:val="0"/>
                <w:sz w:val="22"/>
                <w:szCs w:val="22"/>
              </w:rPr>
              <w:t>The Westminster Suite, Local Government House, Smith Square</w:t>
            </w:r>
          </w:p>
        </w:tc>
      </w:tr>
    </w:tbl>
    <w:p w14:paraId="7C85EA4A" w14:textId="77777777" w:rsidR="00D238F1" w:rsidRPr="00832CEA" w:rsidRDefault="00D238F1" w:rsidP="00D238F1">
      <w:pPr>
        <w:pStyle w:val="Agenda"/>
        <w:spacing w:after="0"/>
        <w:rPr>
          <w:rFonts w:ascii="Arial" w:hAnsi="Arial" w:cs="Arial"/>
          <w:sz w:val="22"/>
          <w:szCs w:val="22"/>
        </w:rPr>
      </w:pPr>
    </w:p>
    <w:p w14:paraId="7C85EA4B" w14:textId="77777777" w:rsidR="00D238F1" w:rsidRPr="00832CEA" w:rsidRDefault="00D238F1" w:rsidP="00D238F1">
      <w:pPr>
        <w:pStyle w:val="MainText"/>
        <w:rPr>
          <w:rFonts w:ascii="Arial" w:hAnsi="Arial" w:cs="Arial"/>
          <w:b/>
          <w:szCs w:val="22"/>
        </w:rPr>
      </w:pPr>
      <w:bookmarkStart w:id="1" w:name="CtteeName"/>
      <w:bookmarkEnd w:id="1"/>
    </w:p>
    <w:tbl>
      <w:tblPr>
        <w:tblW w:w="9322" w:type="dxa"/>
        <w:tblLook w:val="01E0" w:firstRow="1" w:lastRow="1" w:firstColumn="1" w:lastColumn="1" w:noHBand="0" w:noVBand="0"/>
      </w:tblPr>
      <w:tblGrid>
        <w:gridCol w:w="710"/>
        <w:gridCol w:w="7195"/>
        <w:gridCol w:w="1417"/>
      </w:tblGrid>
      <w:tr w:rsidR="00D238F1" w:rsidRPr="00832CEA" w14:paraId="7C85EA4F" w14:textId="77777777" w:rsidTr="002E349E">
        <w:tc>
          <w:tcPr>
            <w:tcW w:w="710" w:type="dxa"/>
            <w:shd w:val="clear" w:color="auto" w:fill="E6E6E6"/>
          </w:tcPr>
          <w:p w14:paraId="7C85EA4C" w14:textId="77777777" w:rsidR="00D238F1" w:rsidRPr="00832CEA" w:rsidRDefault="00D238F1" w:rsidP="002E349E">
            <w:pPr>
              <w:pStyle w:val="MainText"/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832CEA">
              <w:rPr>
                <w:rFonts w:ascii="Arial" w:hAnsi="Arial" w:cs="Arial"/>
                <w:b/>
                <w:szCs w:val="22"/>
              </w:rPr>
              <w:t>Item</w:t>
            </w:r>
          </w:p>
        </w:tc>
        <w:tc>
          <w:tcPr>
            <w:tcW w:w="7195" w:type="dxa"/>
            <w:shd w:val="clear" w:color="auto" w:fill="E6E6E6"/>
          </w:tcPr>
          <w:p w14:paraId="7C85EA4D" w14:textId="77777777" w:rsidR="00D238F1" w:rsidRPr="00832CEA" w:rsidRDefault="00D238F1" w:rsidP="002E349E">
            <w:pPr>
              <w:pStyle w:val="MainText"/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7" w:type="dxa"/>
            <w:shd w:val="clear" w:color="auto" w:fill="E6E6E6"/>
          </w:tcPr>
          <w:p w14:paraId="7C85EA4E" w14:textId="77777777" w:rsidR="00D238F1" w:rsidRPr="00832CEA" w:rsidRDefault="00D238F1" w:rsidP="002E349E">
            <w:pPr>
              <w:pStyle w:val="MainText"/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832CEA">
              <w:rPr>
                <w:rFonts w:ascii="Arial" w:hAnsi="Arial" w:cs="Arial"/>
                <w:b/>
                <w:szCs w:val="22"/>
              </w:rPr>
              <w:t>Action by</w:t>
            </w:r>
          </w:p>
        </w:tc>
      </w:tr>
      <w:tr w:rsidR="00D238F1" w:rsidRPr="00832CEA" w14:paraId="7C85EA53" w14:textId="77777777" w:rsidTr="002E349E">
        <w:tc>
          <w:tcPr>
            <w:tcW w:w="710" w:type="dxa"/>
          </w:tcPr>
          <w:p w14:paraId="7C85EA50" w14:textId="77777777" w:rsidR="00D238F1" w:rsidRPr="00832CEA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195" w:type="dxa"/>
          </w:tcPr>
          <w:p w14:paraId="7C85EA51" w14:textId="77777777" w:rsidR="00D238F1" w:rsidRPr="00832CEA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7" w:type="dxa"/>
          </w:tcPr>
          <w:p w14:paraId="7C85EA52" w14:textId="77777777" w:rsidR="00D238F1" w:rsidRPr="00832CEA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D238F1" w:rsidRPr="00832CEA" w14:paraId="7C85EA57" w14:textId="77777777" w:rsidTr="002E349E">
        <w:tc>
          <w:tcPr>
            <w:tcW w:w="710" w:type="dxa"/>
          </w:tcPr>
          <w:p w14:paraId="7C85EA54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195" w:type="dxa"/>
          </w:tcPr>
          <w:p w14:paraId="7C85EA55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 w:rsidRPr="000259E4">
              <w:rPr>
                <w:rFonts w:ascii="Arial" w:hAnsi="Arial" w:cs="Arial"/>
                <w:b/>
                <w:szCs w:val="22"/>
              </w:rPr>
              <w:t>Welcome and Introductions</w:t>
            </w:r>
          </w:p>
        </w:tc>
        <w:tc>
          <w:tcPr>
            <w:tcW w:w="1417" w:type="dxa"/>
          </w:tcPr>
          <w:p w14:paraId="7C85EA56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D238F1" w:rsidRPr="00832CEA" w14:paraId="7C85EA5B" w14:textId="77777777" w:rsidTr="002E349E">
        <w:tc>
          <w:tcPr>
            <w:tcW w:w="710" w:type="dxa"/>
          </w:tcPr>
          <w:p w14:paraId="7C85EA58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195" w:type="dxa"/>
          </w:tcPr>
          <w:p w14:paraId="7C85EA59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7" w:type="dxa"/>
          </w:tcPr>
          <w:p w14:paraId="7C85EA5A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D238F1" w:rsidRPr="00832CEA" w14:paraId="7C85EA61" w14:textId="77777777" w:rsidTr="002E349E">
        <w:tc>
          <w:tcPr>
            <w:tcW w:w="710" w:type="dxa"/>
          </w:tcPr>
          <w:p w14:paraId="7C85EA5C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195" w:type="dxa"/>
          </w:tcPr>
          <w:p w14:paraId="7C85EA5D" w14:textId="77777777" w:rsidR="00D238F1" w:rsidRPr="002046D8" w:rsidRDefault="00D238F1" w:rsidP="002E349E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 w:rsidRPr="002046D8">
              <w:rPr>
                <w:rFonts w:ascii="Arial" w:hAnsi="Arial" w:cs="Arial"/>
                <w:szCs w:val="22"/>
              </w:rPr>
              <w:t xml:space="preserve">Councillor </w:t>
            </w:r>
            <w:r w:rsidR="00435A9C" w:rsidRPr="002046D8">
              <w:rPr>
                <w:rFonts w:ascii="Arial" w:hAnsi="Arial" w:cs="Arial"/>
                <w:szCs w:val="22"/>
              </w:rPr>
              <w:t>David Sparks OBE</w:t>
            </w:r>
            <w:r w:rsidRPr="002046D8">
              <w:rPr>
                <w:rFonts w:ascii="Arial" w:hAnsi="Arial" w:cs="Arial"/>
                <w:szCs w:val="22"/>
              </w:rPr>
              <w:t>, LGA</w:t>
            </w:r>
            <w:r w:rsidR="00435A9C" w:rsidRPr="002046D8">
              <w:rPr>
                <w:rFonts w:ascii="Arial" w:hAnsi="Arial" w:cs="Arial"/>
                <w:szCs w:val="22"/>
              </w:rPr>
              <w:t xml:space="preserve"> Vice-</w:t>
            </w:r>
            <w:r w:rsidRPr="002046D8">
              <w:rPr>
                <w:rFonts w:ascii="Arial" w:hAnsi="Arial" w:cs="Arial"/>
                <w:szCs w:val="22"/>
              </w:rPr>
              <w:t xml:space="preserve">Chairman, </w:t>
            </w:r>
            <w:r w:rsidR="00765C6C" w:rsidRPr="002046D8">
              <w:rPr>
                <w:rFonts w:ascii="Arial" w:hAnsi="Arial" w:cs="Arial"/>
                <w:szCs w:val="22"/>
              </w:rPr>
              <w:t xml:space="preserve">chaired the meeting in </w:t>
            </w:r>
            <w:r w:rsidR="00435A9C" w:rsidRPr="002046D8">
              <w:rPr>
                <w:rFonts w:ascii="Arial" w:hAnsi="Arial" w:cs="Arial"/>
                <w:szCs w:val="22"/>
              </w:rPr>
              <w:t xml:space="preserve">Sir Merrick </w:t>
            </w:r>
            <w:proofErr w:type="spellStart"/>
            <w:r w:rsidR="00435A9C" w:rsidRPr="002046D8">
              <w:rPr>
                <w:rFonts w:ascii="Arial" w:hAnsi="Arial" w:cs="Arial"/>
                <w:szCs w:val="22"/>
              </w:rPr>
              <w:t>Cockell’s</w:t>
            </w:r>
            <w:proofErr w:type="spellEnd"/>
            <w:r w:rsidR="00435A9C" w:rsidRPr="002046D8">
              <w:rPr>
                <w:rFonts w:ascii="Arial" w:hAnsi="Arial" w:cs="Arial"/>
                <w:szCs w:val="22"/>
              </w:rPr>
              <w:t xml:space="preserve"> absence and </w:t>
            </w:r>
            <w:r w:rsidR="00765C6C" w:rsidRPr="002046D8">
              <w:rPr>
                <w:rFonts w:ascii="Arial" w:hAnsi="Arial" w:cs="Arial"/>
                <w:szCs w:val="22"/>
              </w:rPr>
              <w:t>welcomed m</w:t>
            </w:r>
            <w:r w:rsidRPr="002046D8">
              <w:rPr>
                <w:rFonts w:ascii="Arial" w:hAnsi="Arial" w:cs="Arial"/>
                <w:szCs w:val="22"/>
              </w:rPr>
              <w:t xml:space="preserve">embers to the meeting. </w:t>
            </w:r>
          </w:p>
          <w:p w14:paraId="7C85EA5E" w14:textId="77777777" w:rsidR="00D238F1" w:rsidRPr="002046D8" w:rsidRDefault="00D238F1" w:rsidP="002E349E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7C85EA5F" w14:textId="77777777" w:rsidR="00D238F1" w:rsidRPr="002046D8" w:rsidRDefault="00D238F1" w:rsidP="003E13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2046D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046D8">
              <w:rPr>
                <w:rFonts w:ascii="Arial" w:hAnsi="Arial" w:cs="Arial"/>
                <w:sz w:val="22"/>
                <w:szCs w:val="22"/>
              </w:rPr>
              <w:t>Vice-</w:t>
            </w:r>
            <w:r w:rsidRPr="002046D8">
              <w:rPr>
                <w:rFonts w:ascii="Arial" w:hAnsi="Arial" w:cs="Arial"/>
                <w:sz w:val="22"/>
                <w:szCs w:val="22"/>
              </w:rPr>
              <w:t xml:space="preserve">Chairman introduced </w:t>
            </w:r>
            <w:r w:rsidR="003E13F4" w:rsidRPr="002046D8">
              <w:rPr>
                <w:rFonts w:ascii="Arial" w:eastAsiaTheme="minorHAnsi" w:hAnsi="Arial" w:cs="Arial"/>
                <w:sz w:val="22"/>
                <w:szCs w:val="22"/>
              </w:rPr>
              <w:t xml:space="preserve">Tim </w:t>
            </w:r>
            <w:proofErr w:type="spellStart"/>
            <w:r w:rsidR="003E13F4" w:rsidRPr="002046D8">
              <w:rPr>
                <w:rFonts w:ascii="Arial" w:eastAsiaTheme="minorHAnsi" w:hAnsi="Arial" w:cs="Arial"/>
                <w:sz w:val="22"/>
                <w:szCs w:val="22"/>
              </w:rPr>
              <w:t>Passmore</w:t>
            </w:r>
            <w:proofErr w:type="spellEnd"/>
            <w:r w:rsidR="003E13F4" w:rsidRPr="002046D8">
              <w:rPr>
                <w:rFonts w:ascii="Arial" w:eastAsiaTheme="minorHAnsi" w:hAnsi="Arial" w:cs="Arial"/>
                <w:sz w:val="22"/>
                <w:szCs w:val="22"/>
              </w:rPr>
              <w:t>, PCC for Suffolk, Dr Eric Wood, Deputy PCC for Warwickshire and Ron Hogg, PCC for Durham.</w:t>
            </w:r>
          </w:p>
        </w:tc>
        <w:tc>
          <w:tcPr>
            <w:tcW w:w="1417" w:type="dxa"/>
          </w:tcPr>
          <w:p w14:paraId="7C85EA60" w14:textId="77777777" w:rsidR="00D238F1" w:rsidRPr="002046D8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D238F1" w:rsidRPr="00832CEA" w14:paraId="7C85EA65" w14:textId="77777777" w:rsidTr="002E349E">
        <w:tc>
          <w:tcPr>
            <w:tcW w:w="710" w:type="dxa"/>
          </w:tcPr>
          <w:p w14:paraId="7C85EA62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195" w:type="dxa"/>
          </w:tcPr>
          <w:p w14:paraId="7C85EA63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7" w:type="dxa"/>
          </w:tcPr>
          <w:p w14:paraId="7C85EA64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D238F1" w:rsidRPr="00832CEA" w14:paraId="7C85EA69" w14:textId="77777777" w:rsidTr="002E349E">
        <w:tc>
          <w:tcPr>
            <w:tcW w:w="710" w:type="dxa"/>
          </w:tcPr>
          <w:p w14:paraId="7C85EA66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 w:rsidRPr="000259E4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7195" w:type="dxa"/>
          </w:tcPr>
          <w:p w14:paraId="7C85EA67" w14:textId="77777777" w:rsidR="00D238F1" w:rsidRPr="000259E4" w:rsidRDefault="003E13F4" w:rsidP="00B746F1">
            <w:pPr>
              <w:pStyle w:val="MainText"/>
              <w:tabs>
                <w:tab w:val="clear" w:pos="9923"/>
              </w:tabs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Police and Crime Commissioners: One Year On</w:t>
            </w:r>
          </w:p>
        </w:tc>
        <w:tc>
          <w:tcPr>
            <w:tcW w:w="1417" w:type="dxa"/>
          </w:tcPr>
          <w:p w14:paraId="7C85EA68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D238F1" w:rsidRPr="00832CEA" w14:paraId="7C85EA93" w14:textId="77777777" w:rsidTr="002E349E">
        <w:tc>
          <w:tcPr>
            <w:tcW w:w="710" w:type="dxa"/>
          </w:tcPr>
          <w:p w14:paraId="7C85EA6A" w14:textId="77777777" w:rsidR="00D238F1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C85EA6B" w14:textId="77777777" w:rsidR="00435A9C" w:rsidRPr="000259E4" w:rsidRDefault="00435A9C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195" w:type="dxa"/>
          </w:tcPr>
          <w:p w14:paraId="7C85EA6C" w14:textId="77777777" w:rsidR="00912A08" w:rsidRDefault="00257B03" w:rsidP="002E349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Ron Hogg, PCC for Durham, began by explaining some of the progress and challenges he had experienced in his first year as a PCC.  </w:t>
            </w:r>
            <w:r w:rsidR="00041F1E">
              <w:rPr>
                <w:rFonts w:ascii="Arial" w:hAnsi="Arial" w:cs="Arial"/>
                <w:szCs w:val="22"/>
              </w:rPr>
              <w:t>Topics raised included:</w:t>
            </w:r>
          </w:p>
          <w:p w14:paraId="7C85EA6D" w14:textId="77777777" w:rsidR="00041F1E" w:rsidRDefault="00041F1E" w:rsidP="002E349E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7C85EA6E" w14:textId="77777777" w:rsidR="00041F1E" w:rsidRDefault="00041F1E" w:rsidP="00041F1E">
            <w:pPr>
              <w:pStyle w:val="MainText"/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need to improve the democratic element of PCCs so that they are more outward facing and can engage with the community.</w:t>
            </w:r>
          </w:p>
          <w:p w14:paraId="7C85EA6F" w14:textId="77777777" w:rsidR="00041F1E" w:rsidRDefault="00041F1E" w:rsidP="00041F1E">
            <w:pPr>
              <w:pStyle w:val="MainText"/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How PCCs have established communications with local authorities and police forces.</w:t>
            </w:r>
          </w:p>
          <w:p w14:paraId="7C85EA70" w14:textId="77777777" w:rsidR="00041F1E" w:rsidRDefault="00041F1E" w:rsidP="00041F1E">
            <w:pPr>
              <w:pStyle w:val="MainText"/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need to understand staff issues, which can be done through regular meetings with the police federation and unions, as well as a myriad of other partner agencies.</w:t>
            </w:r>
          </w:p>
          <w:p w14:paraId="7C85EA71" w14:textId="77777777" w:rsidR="00041F1E" w:rsidRDefault="00041F1E" w:rsidP="00041F1E">
            <w:pPr>
              <w:pStyle w:val="MainText"/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need to protect frontline services which can be done through effective estate management and collaboration with other emergency services.</w:t>
            </w:r>
          </w:p>
          <w:p w14:paraId="7C85EA72" w14:textId="77777777" w:rsidR="00041F1E" w:rsidRDefault="00041F1E" w:rsidP="00041F1E">
            <w:pPr>
              <w:pStyle w:val="MainText"/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difficulty of campaigning in such large areas.</w:t>
            </w:r>
          </w:p>
          <w:p w14:paraId="7C85EA73" w14:textId="77777777" w:rsidR="00041F1E" w:rsidRDefault="00041F1E" w:rsidP="00041F1E">
            <w:pPr>
              <w:pStyle w:val="MainText"/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importance of engaging with the voluntary sector.</w:t>
            </w:r>
          </w:p>
          <w:p w14:paraId="7C85EA74" w14:textId="77777777" w:rsidR="00041F1E" w:rsidRDefault="00B050A0" w:rsidP="00041F1E">
            <w:pPr>
              <w:pStyle w:val="MainText"/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Working with academia</w:t>
            </w:r>
            <w:r w:rsidR="00041F1E">
              <w:rPr>
                <w:rFonts w:ascii="Arial" w:hAnsi="Arial" w:cs="Arial"/>
                <w:szCs w:val="22"/>
              </w:rPr>
              <w:t xml:space="preserve"> on a strategy related to mental health and crime.</w:t>
            </w:r>
          </w:p>
          <w:p w14:paraId="7C85EA75" w14:textId="77777777" w:rsidR="00041F1E" w:rsidRDefault="00041F1E" w:rsidP="00041F1E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7C85EA76" w14:textId="77777777" w:rsidR="00041F1E" w:rsidRDefault="00BC27C2" w:rsidP="00041F1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</w:t>
            </w:r>
            <w:r w:rsidR="00041F1E">
              <w:rPr>
                <w:rFonts w:ascii="Arial" w:hAnsi="Arial" w:cs="Arial"/>
                <w:szCs w:val="22"/>
              </w:rPr>
              <w:t xml:space="preserve">im </w:t>
            </w:r>
            <w:proofErr w:type="spellStart"/>
            <w:r w:rsidR="00041F1E">
              <w:rPr>
                <w:rFonts w:ascii="Arial" w:hAnsi="Arial" w:cs="Arial"/>
                <w:szCs w:val="22"/>
              </w:rPr>
              <w:t>Passmore</w:t>
            </w:r>
            <w:proofErr w:type="spellEnd"/>
            <w:r w:rsidR="00041F1E">
              <w:rPr>
                <w:rFonts w:ascii="Arial" w:hAnsi="Arial" w:cs="Arial"/>
                <w:szCs w:val="22"/>
              </w:rPr>
              <w:t xml:space="preserve">, PCC for Suffolk, </w:t>
            </w:r>
            <w:r w:rsidR="003870B0">
              <w:rPr>
                <w:rFonts w:ascii="Arial" w:hAnsi="Arial" w:cs="Arial"/>
                <w:szCs w:val="22"/>
              </w:rPr>
              <w:t xml:space="preserve">then spoke about some of the improvements that can be made going forwards. Points discussed </w:t>
            </w:r>
            <w:r w:rsidR="003870B0">
              <w:rPr>
                <w:rFonts w:ascii="Arial" w:hAnsi="Arial" w:cs="Arial"/>
                <w:szCs w:val="22"/>
              </w:rPr>
              <w:lastRenderedPageBreak/>
              <w:t>included:</w:t>
            </w:r>
          </w:p>
          <w:p w14:paraId="7C85EA77" w14:textId="77777777" w:rsidR="003870B0" w:rsidRDefault="003870B0" w:rsidP="00041F1E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7C85EA78" w14:textId="77777777" w:rsidR="003870B0" w:rsidRDefault="008A5BF2" w:rsidP="003870B0">
            <w:pPr>
              <w:pStyle w:val="MainText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opportunity that PCCs present for greater accountability and transparency in policing.</w:t>
            </w:r>
          </w:p>
          <w:p w14:paraId="7C85EA79" w14:textId="77777777" w:rsidR="008A5BF2" w:rsidRDefault="008A5BF2" w:rsidP="003870B0">
            <w:pPr>
              <w:pStyle w:val="MainText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need for better financial management.</w:t>
            </w:r>
          </w:p>
          <w:p w14:paraId="7C85EA7A" w14:textId="77777777" w:rsidR="008A5BF2" w:rsidRDefault="008A5BF2" w:rsidP="008A5BF2">
            <w:pPr>
              <w:pStyle w:val="MainText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need for a proactive, long-term vision.</w:t>
            </w:r>
          </w:p>
          <w:p w14:paraId="7C85EA7B" w14:textId="77777777" w:rsidR="008A5BF2" w:rsidRDefault="008A5BF2" w:rsidP="008A5BF2">
            <w:pPr>
              <w:pStyle w:val="MainText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Better estate management</w:t>
            </w:r>
            <w:r w:rsidR="00A53E43">
              <w:rPr>
                <w:rFonts w:ascii="Arial" w:hAnsi="Arial" w:cs="Arial"/>
                <w:szCs w:val="22"/>
              </w:rPr>
              <w:t xml:space="preserve"> and better procurement of goods and services to support the UK economy</w:t>
            </w:r>
            <w:r w:rsidR="00024234">
              <w:rPr>
                <w:rFonts w:ascii="Arial" w:hAnsi="Arial" w:cs="Arial"/>
                <w:szCs w:val="22"/>
              </w:rPr>
              <w:t>.</w:t>
            </w:r>
          </w:p>
          <w:p w14:paraId="7C85EA7C" w14:textId="77777777" w:rsidR="008A5BF2" w:rsidRDefault="008A5BF2" w:rsidP="008A5BF2">
            <w:pPr>
              <w:pStyle w:val="MainText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Building public trust in the wake of police </w:t>
            </w:r>
            <w:r w:rsidR="00A53E43">
              <w:rPr>
                <w:rFonts w:ascii="Arial" w:hAnsi="Arial" w:cs="Arial"/>
                <w:szCs w:val="22"/>
              </w:rPr>
              <w:t>controversy</w:t>
            </w:r>
            <w:r>
              <w:rPr>
                <w:rFonts w:ascii="Arial" w:hAnsi="Arial" w:cs="Arial"/>
                <w:szCs w:val="22"/>
              </w:rPr>
              <w:t xml:space="preserve"> such as ‘</w:t>
            </w:r>
            <w:proofErr w:type="spellStart"/>
            <w:r>
              <w:rPr>
                <w:rFonts w:ascii="Arial" w:hAnsi="Arial" w:cs="Arial"/>
                <w:szCs w:val="22"/>
              </w:rPr>
              <w:t>Plebgate</w:t>
            </w:r>
            <w:proofErr w:type="spellEnd"/>
            <w:r>
              <w:rPr>
                <w:rFonts w:ascii="Arial" w:hAnsi="Arial" w:cs="Arial"/>
                <w:szCs w:val="22"/>
              </w:rPr>
              <w:t>’</w:t>
            </w:r>
            <w:r w:rsidR="00A53E43">
              <w:rPr>
                <w:rFonts w:ascii="Arial" w:hAnsi="Arial" w:cs="Arial"/>
                <w:szCs w:val="22"/>
              </w:rPr>
              <w:t xml:space="preserve"> and crime statistics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7C85EA7D" w14:textId="77777777" w:rsidR="003F7A17" w:rsidRDefault="003F7A17" w:rsidP="008A5BF2">
            <w:pPr>
              <w:pStyle w:val="MainText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need to work more to combat economic and </w:t>
            </w:r>
            <w:proofErr w:type="spellStart"/>
            <w:r>
              <w:rPr>
                <w:rFonts w:ascii="Arial" w:hAnsi="Arial" w:cs="Arial"/>
                <w:szCs w:val="22"/>
              </w:rPr>
              <w:t>cyber crime</w:t>
            </w:r>
            <w:proofErr w:type="spellEnd"/>
            <w:r>
              <w:rPr>
                <w:rFonts w:ascii="Arial" w:hAnsi="Arial" w:cs="Arial"/>
                <w:szCs w:val="22"/>
              </w:rPr>
              <w:t>.</w:t>
            </w:r>
          </w:p>
          <w:p w14:paraId="7C85EA7E" w14:textId="77777777" w:rsidR="003F7A17" w:rsidRDefault="003F7A17" w:rsidP="008A5BF2">
            <w:pPr>
              <w:pStyle w:val="MainText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Exchanging </w:t>
            </w:r>
            <w:r w:rsidR="00A53E43">
              <w:rPr>
                <w:rFonts w:ascii="Arial" w:hAnsi="Arial" w:cs="Arial"/>
                <w:szCs w:val="22"/>
              </w:rPr>
              <w:t xml:space="preserve">troubled families data and </w:t>
            </w:r>
            <w:r>
              <w:rPr>
                <w:rFonts w:ascii="Arial" w:hAnsi="Arial" w:cs="Arial"/>
                <w:szCs w:val="22"/>
              </w:rPr>
              <w:t>safeguarding information more</w:t>
            </w:r>
            <w:r w:rsidR="00024234">
              <w:rPr>
                <w:rFonts w:ascii="Arial" w:hAnsi="Arial" w:cs="Arial"/>
                <w:szCs w:val="22"/>
              </w:rPr>
              <w:t>.</w:t>
            </w:r>
          </w:p>
          <w:p w14:paraId="7C85EA7F" w14:textId="77777777" w:rsidR="003F7A17" w:rsidRDefault="003F7A17" w:rsidP="008A5BF2">
            <w:pPr>
              <w:pStyle w:val="MainText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Improving the commitment of those who sit on Police and Crime panels as they play an important role in the constitutional process. </w:t>
            </w:r>
            <w:r w:rsidR="00A53E43">
              <w:rPr>
                <w:rFonts w:ascii="Arial" w:hAnsi="Arial" w:cs="Arial"/>
                <w:szCs w:val="22"/>
              </w:rPr>
              <w:t>T</w:t>
            </w:r>
            <w:r>
              <w:rPr>
                <w:rFonts w:ascii="Arial" w:hAnsi="Arial" w:cs="Arial"/>
                <w:szCs w:val="22"/>
              </w:rPr>
              <w:t>im mentioned he would welcome ideas from the LGA on how this could be done.</w:t>
            </w:r>
          </w:p>
          <w:p w14:paraId="7C85EA80" w14:textId="77777777" w:rsidR="003F7A17" w:rsidRDefault="003F7A17" w:rsidP="003F7A17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7C85EA81" w14:textId="77777777" w:rsidR="003F7A17" w:rsidRDefault="003F7A17" w:rsidP="003F7A17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Dr Eric Wood, Deputy PCC for Warwickshire</w:t>
            </w:r>
            <w:r w:rsidR="008C4469">
              <w:rPr>
                <w:rFonts w:ascii="Arial" w:hAnsi="Arial" w:cs="Arial"/>
                <w:szCs w:val="22"/>
              </w:rPr>
              <w:t xml:space="preserve"> </w:t>
            </w:r>
            <w:r w:rsidR="00476D5A">
              <w:rPr>
                <w:rFonts w:ascii="Arial" w:hAnsi="Arial" w:cs="Arial"/>
                <w:szCs w:val="22"/>
              </w:rPr>
              <w:t>then discussed the following issues:</w:t>
            </w:r>
          </w:p>
          <w:p w14:paraId="7C85EA82" w14:textId="77777777" w:rsidR="00476D5A" w:rsidRDefault="00476D5A" w:rsidP="003F7A17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7C85EA83" w14:textId="77777777" w:rsidR="00476D5A" w:rsidRDefault="00476D5A" w:rsidP="00476D5A">
            <w:pPr>
              <w:pStyle w:val="MainText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way that the policing landscape has changed in the last year.</w:t>
            </w:r>
          </w:p>
          <w:p w14:paraId="7C85EA84" w14:textId="77777777" w:rsidR="00476D5A" w:rsidRDefault="00476D5A" w:rsidP="00476D5A">
            <w:pPr>
              <w:pStyle w:val="MainText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Ethics and probity being underpinned by austerity.</w:t>
            </w:r>
          </w:p>
          <w:p w14:paraId="7C85EA85" w14:textId="77777777" w:rsidR="00476D5A" w:rsidRDefault="00476D5A" w:rsidP="00476D5A">
            <w:pPr>
              <w:pStyle w:val="MainText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problem of no one authority having responsibility for mental health issues.</w:t>
            </w:r>
          </w:p>
          <w:p w14:paraId="7C85EA86" w14:textId="77777777" w:rsidR="00476D5A" w:rsidRDefault="00476D5A" w:rsidP="00476D5A">
            <w:pPr>
              <w:pStyle w:val="MainText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Sharing services between police forces and the savings this can generate.</w:t>
            </w:r>
          </w:p>
          <w:p w14:paraId="7C85EA87" w14:textId="77777777" w:rsidR="00476D5A" w:rsidRDefault="00476D5A" w:rsidP="00476D5A">
            <w:pPr>
              <w:pStyle w:val="MainText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His concern that the government intends to expand the remit of PCCs </w:t>
            </w:r>
            <w:r w:rsidR="00A53E43">
              <w:rPr>
                <w:rFonts w:ascii="Arial" w:hAnsi="Arial" w:cs="Arial"/>
                <w:szCs w:val="22"/>
              </w:rPr>
              <w:t xml:space="preserve">to include fire </w:t>
            </w:r>
            <w:r>
              <w:rPr>
                <w:rFonts w:ascii="Arial" w:hAnsi="Arial" w:cs="Arial"/>
                <w:szCs w:val="22"/>
              </w:rPr>
              <w:t>even though</w:t>
            </w:r>
            <w:r w:rsidR="00A53E43">
              <w:rPr>
                <w:rFonts w:ascii="Arial" w:hAnsi="Arial" w:cs="Arial"/>
                <w:szCs w:val="22"/>
              </w:rPr>
              <w:t xml:space="preserve"> they have no democratic mandate for this and</w:t>
            </w:r>
            <w:r>
              <w:rPr>
                <w:rFonts w:ascii="Arial" w:hAnsi="Arial" w:cs="Arial"/>
                <w:szCs w:val="22"/>
              </w:rPr>
              <w:t xml:space="preserve"> Police and Crime panels cannot hold them properly to account</w:t>
            </w:r>
          </w:p>
          <w:p w14:paraId="7C85EA88" w14:textId="77777777" w:rsidR="00476D5A" w:rsidRDefault="00476D5A" w:rsidP="00476D5A">
            <w:pPr>
              <w:pStyle w:val="MainText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changing nature of crime and the victimisation of the elderly through financial crimes.</w:t>
            </w:r>
          </w:p>
          <w:p w14:paraId="7C85EA89" w14:textId="77777777" w:rsidR="00476D5A" w:rsidRDefault="00476D5A" w:rsidP="00476D5A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7C85EA8A" w14:textId="77777777" w:rsidR="00476D5A" w:rsidRDefault="00BC27C2" w:rsidP="00476D5A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</w:t>
            </w:r>
            <w:r w:rsidR="00476D5A">
              <w:rPr>
                <w:rFonts w:ascii="Arial" w:hAnsi="Arial" w:cs="Arial"/>
                <w:szCs w:val="22"/>
              </w:rPr>
              <w:t xml:space="preserve">im </w:t>
            </w:r>
            <w:proofErr w:type="spellStart"/>
            <w:r w:rsidR="00476D5A">
              <w:rPr>
                <w:rFonts w:ascii="Arial" w:hAnsi="Arial" w:cs="Arial"/>
                <w:szCs w:val="22"/>
              </w:rPr>
              <w:t>Passmore</w:t>
            </w:r>
            <w:proofErr w:type="spellEnd"/>
            <w:r w:rsidR="00476D5A">
              <w:rPr>
                <w:rFonts w:ascii="Arial" w:hAnsi="Arial" w:cs="Arial"/>
                <w:szCs w:val="22"/>
              </w:rPr>
              <w:t xml:space="preserve"> and Dr Eric Wood finished by taking questions from the floor. Members asked the following questions:</w:t>
            </w:r>
          </w:p>
          <w:p w14:paraId="7C85EA8B" w14:textId="77777777" w:rsidR="00476D5A" w:rsidRDefault="00476D5A" w:rsidP="00476D5A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7C85EA8C" w14:textId="77777777" w:rsidR="00476D5A" w:rsidRDefault="00476D5A" w:rsidP="00476D5A">
            <w:pPr>
              <w:pStyle w:val="MainText"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What could the LGA do to make Police and Crime panels better?</w:t>
            </w:r>
          </w:p>
          <w:p w14:paraId="7C85EA8D" w14:textId="77777777" w:rsidR="00476D5A" w:rsidRDefault="00476D5A" w:rsidP="00476D5A">
            <w:pPr>
              <w:pStyle w:val="MainText"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Has there been a shift in the way operations are conducted?</w:t>
            </w:r>
          </w:p>
          <w:p w14:paraId="7C85EA8E" w14:textId="77777777" w:rsidR="00476D5A" w:rsidRPr="00476D5A" w:rsidRDefault="00476D5A" w:rsidP="00476D5A">
            <w:pPr>
              <w:pStyle w:val="MainText"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 there a role for commissioners and panel members in investigating complaints against the police?</w:t>
            </w:r>
          </w:p>
          <w:p w14:paraId="7C85EA8F" w14:textId="77777777" w:rsidR="00257B03" w:rsidRDefault="00257B03" w:rsidP="002E349E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7C85EA90" w14:textId="77777777" w:rsidR="00024234" w:rsidRDefault="00024234" w:rsidP="002E349E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7C85EA91" w14:textId="77777777" w:rsidR="00024234" w:rsidRPr="00435A9C" w:rsidRDefault="00024234" w:rsidP="002E349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7C85EA92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D238F1" w:rsidRPr="00832CEA" w14:paraId="7C85EA97" w14:textId="77777777" w:rsidTr="002E349E">
        <w:tc>
          <w:tcPr>
            <w:tcW w:w="710" w:type="dxa"/>
          </w:tcPr>
          <w:p w14:paraId="7C85EA94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 w:rsidRPr="000259E4">
              <w:rPr>
                <w:rFonts w:ascii="Arial" w:hAnsi="Arial" w:cs="Arial"/>
                <w:b/>
                <w:szCs w:val="22"/>
              </w:rPr>
              <w:lastRenderedPageBreak/>
              <w:t>2</w:t>
            </w:r>
          </w:p>
        </w:tc>
        <w:tc>
          <w:tcPr>
            <w:tcW w:w="7195" w:type="dxa"/>
          </w:tcPr>
          <w:p w14:paraId="7C85EA95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 w:rsidRPr="000259E4">
              <w:rPr>
                <w:rFonts w:ascii="Arial" w:hAnsi="Arial" w:cs="Arial"/>
                <w:b/>
                <w:szCs w:val="22"/>
              </w:rPr>
              <w:t>Chairman’s Update</w:t>
            </w:r>
          </w:p>
        </w:tc>
        <w:tc>
          <w:tcPr>
            <w:tcW w:w="1417" w:type="dxa"/>
          </w:tcPr>
          <w:p w14:paraId="7C85EA96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D238F1" w:rsidRPr="00832CEA" w14:paraId="7C85EA9B" w14:textId="77777777" w:rsidTr="002E349E">
        <w:tc>
          <w:tcPr>
            <w:tcW w:w="710" w:type="dxa"/>
          </w:tcPr>
          <w:p w14:paraId="7C85EA98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195" w:type="dxa"/>
          </w:tcPr>
          <w:p w14:paraId="7C85EA99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7" w:type="dxa"/>
          </w:tcPr>
          <w:p w14:paraId="7C85EA9A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D238F1" w:rsidRPr="00832CEA" w14:paraId="7C85EA9F" w14:textId="77777777" w:rsidTr="002E349E">
        <w:tc>
          <w:tcPr>
            <w:tcW w:w="710" w:type="dxa"/>
          </w:tcPr>
          <w:p w14:paraId="7C85EA9C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195" w:type="dxa"/>
          </w:tcPr>
          <w:p w14:paraId="7C85EA9D" w14:textId="77777777" w:rsidR="00D238F1" w:rsidRPr="000259E4" w:rsidRDefault="00D238F1" w:rsidP="002E349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259E4">
              <w:rPr>
                <w:rFonts w:ascii="Arial" w:hAnsi="Arial" w:cs="Arial"/>
                <w:spacing w:val="-4"/>
                <w:sz w:val="22"/>
                <w:szCs w:val="22"/>
              </w:rPr>
              <w:t xml:space="preserve">Members noted and accepted the Chairman’s report.  </w:t>
            </w:r>
          </w:p>
        </w:tc>
        <w:tc>
          <w:tcPr>
            <w:tcW w:w="1417" w:type="dxa"/>
          </w:tcPr>
          <w:p w14:paraId="7C85EA9E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D238F1" w:rsidRPr="00832CEA" w14:paraId="7C85EAA3" w14:textId="77777777" w:rsidTr="002E349E">
        <w:tc>
          <w:tcPr>
            <w:tcW w:w="710" w:type="dxa"/>
          </w:tcPr>
          <w:p w14:paraId="7C85EAA0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195" w:type="dxa"/>
          </w:tcPr>
          <w:p w14:paraId="7C85EAA1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7" w:type="dxa"/>
          </w:tcPr>
          <w:p w14:paraId="7C85EAA2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D238F1" w:rsidRPr="00832CEA" w14:paraId="7C85EAA7" w14:textId="77777777" w:rsidTr="002E349E">
        <w:tc>
          <w:tcPr>
            <w:tcW w:w="710" w:type="dxa"/>
          </w:tcPr>
          <w:p w14:paraId="7C85EAA4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 w:rsidRPr="000259E4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7195" w:type="dxa"/>
          </w:tcPr>
          <w:p w14:paraId="7C85EAA5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 w:rsidRPr="000259E4">
              <w:rPr>
                <w:rFonts w:ascii="Arial" w:hAnsi="Arial" w:cs="Arial"/>
                <w:b/>
                <w:szCs w:val="22"/>
              </w:rPr>
              <w:t>Programme Board Chairs’ Reports</w:t>
            </w:r>
          </w:p>
        </w:tc>
        <w:tc>
          <w:tcPr>
            <w:tcW w:w="1417" w:type="dxa"/>
          </w:tcPr>
          <w:p w14:paraId="7C85EAA6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D238F1" w:rsidRPr="00832CEA" w14:paraId="7C85EAAB" w14:textId="77777777" w:rsidTr="002E349E">
        <w:tc>
          <w:tcPr>
            <w:tcW w:w="710" w:type="dxa"/>
          </w:tcPr>
          <w:p w14:paraId="7C85EAA8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195" w:type="dxa"/>
          </w:tcPr>
          <w:p w14:paraId="7C85EAA9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7C85EAAA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D238F1" w:rsidRPr="00832CEA" w14:paraId="7C85EAAF" w14:textId="77777777" w:rsidTr="002E349E">
        <w:tc>
          <w:tcPr>
            <w:tcW w:w="710" w:type="dxa"/>
          </w:tcPr>
          <w:p w14:paraId="7C85EAAC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195" w:type="dxa"/>
          </w:tcPr>
          <w:p w14:paraId="7C85EAAD" w14:textId="77777777" w:rsidR="00D238F1" w:rsidRPr="00944F15" w:rsidRDefault="00D238F1" w:rsidP="002E349E">
            <w:pPr>
              <w:pStyle w:val="MainText"/>
              <w:rPr>
                <w:rFonts w:ascii="Arial" w:hAnsi="Arial" w:cs="Arial"/>
                <w:szCs w:val="22"/>
              </w:rPr>
            </w:pPr>
            <w:r w:rsidRPr="000259E4">
              <w:rPr>
                <w:rFonts w:ascii="Arial" w:hAnsi="Arial" w:cs="Arial"/>
                <w:szCs w:val="22"/>
              </w:rPr>
              <w:t>Members noted the updates from each of the LG</w:t>
            </w:r>
            <w:r>
              <w:rPr>
                <w:rFonts w:ascii="Arial" w:hAnsi="Arial" w:cs="Arial"/>
                <w:szCs w:val="22"/>
              </w:rPr>
              <w:t>A’s</w:t>
            </w:r>
            <w:r w:rsidRPr="000259E4">
              <w:rPr>
                <w:rFonts w:ascii="Arial" w:hAnsi="Arial" w:cs="Arial"/>
                <w:szCs w:val="22"/>
              </w:rPr>
              <w:t xml:space="preserve"> Board Chairs.  </w:t>
            </w:r>
          </w:p>
        </w:tc>
        <w:tc>
          <w:tcPr>
            <w:tcW w:w="1417" w:type="dxa"/>
          </w:tcPr>
          <w:p w14:paraId="7C85EAAE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D238F1" w:rsidRPr="00832CEA" w14:paraId="7C85EAB3" w14:textId="77777777" w:rsidTr="002E349E">
        <w:tc>
          <w:tcPr>
            <w:tcW w:w="710" w:type="dxa"/>
          </w:tcPr>
          <w:p w14:paraId="7C85EAB0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195" w:type="dxa"/>
          </w:tcPr>
          <w:p w14:paraId="7C85EAB1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7" w:type="dxa"/>
          </w:tcPr>
          <w:p w14:paraId="7C85EAB2" w14:textId="77777777" w:rsidR="00D238F1" w:rsidRPr="000259E4" w:rsidRDefault="00D238F1" w:rsidP="002E349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C85EAB4" w14:textId="77777777" w:rsidR="00D238F1" w:rsidRPr="00832CEA" w:rsidRDefault="00D238F1" w:rsidP="00D238F1">
      <w:pPr>
        <w:pStyle w:val="MainText"/>
        <w:rPr>
          <w:rFonts w:ascii="Arial" w:hAnsi="Arial" w:cs="Arial"/>
          <w:b/>
          <w:szCs w:val="22"/>
        </w:rPr>
      </w:pPr>
    </w:p>
    <w:p w14:paraId="7C85EAB5" w14:textId="77777777" w:rsidR="00D238F1" w:rsidRPr="004875DE" w:rsidRDefault="00D238F1" w:rsidP="00D238F1">
      <w:pPr>
        <w:spacing w:line="280" w:lineRule="exact"/>
        <w:ind w:left="2265" w:hanging="2265"/>
        <w:rPr>
          <w:rFonts w:ascii="Arial" w:hAnsi="Arial" w:cs="Arial"/>
          <w:sz w:val="22"/>
          <w:szCs w:val="22"/>
          <w:lang w:eastAsia="en-GB"/>
        </w:rPr>
      </w:pPr>
      <w:r w:rsidRPr="004875DE">
        <w:rPr>
          <w:rFonts w:ascii="Arial" w:hAnsi="Arial" w:cs="Arial"/>
          <w:b/>
          <w:sz w:val="22"/>
          <w:szCs w:val="22"/>
          <w:lang w:eastAsia="en-GB"/>
        </w:rPr>
        <w:t>Date of next meeting:</w:t>
      </w:r>
      <w:r w:rsidRPr="004875DE">
        <w:rPr>
          <w:rFonts w:ascii="Arial" w:hAnsi="Arial" w:cs="Arial"/>
          <w:b/>
          <w:sz w:val="22"/>
          <w:szCs w:val="22"/>
          <w:lang w:eastAsia="en-GB"/>
        </w:rPr>
        <w:tab/>
      </w:r>
      <w:r w:rsidRPr="004875DE">
        <w:rPr>
          <w:rFonts w:ascii="Arial" w:hAnsi="Arial" w:cs="Arial"/>
          <w:sz w:val="22"/>
          <w:szCs w:val="22"/>
          <w:lang w:eastAsia="en-GB"/>
        </w:rPr>
        <w:t>Thursday</w:t>
      </w:r>
      <w:r w:rsidR="0034441C">
        <w:rPr>
          <w:rFonts w:ascii="Arial" w:hAnsi="Arial" w:cs="Arial"/>
          <w:sz w:val="22"/>
          <w:szCs w:val="22"/>
          <w:lang w:eastAsia="en-GB"/>
        </w:rPr>
        <w:t xml:space="preserve"> 20 February</w:t>
      </w:r>
      <w:r w:rsidRPr="004875D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257B03">
        <w:rPr>
          <w:rFonts w:ascii="Arial" w:hAnsi="Arial" w:cs="Arial"/>
          <w:sz w:val="22"/>
          <w:szCs w:val="22"/>
          <w:lang w:eastAsia="en-GB"/>
        </w:rPr>
        <w:t>2014</w:t>
      </w:r>
      <w:r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04875DE">
        <w:rPr>
          <w:rFonts w:ascii="Arial" w:hAnsi="Arial" w:cs="Arial"/>
          <w:sz w:val="22"/>
          <w:szCs w:val="22"/>
          <w:lang w:eastAsia="en-GB"/>
        </w:rPr>
        <w:t>12:30pm – 1:30pm</w:t>
      </w:r>
    </w:p>
    <w:p w14:paraId="7C85EAB6" w14:textId="77777777" w:rsidR="00D238F1" w:rsidRPr="00832CEA" w:rsidRDefault="00D238F1" w:rsidP="00D238F1">
      <w:pPr>
        <w:pStyle w:val="MainText"/>
        <w:rPr>
          <w:rFonts w:ascii="Arial" w:hAnsi="Arial" w:cs="Arial"/>
          <w:b/>
          <w:szCs w:val="22"/>
        </w:rPr>
      </w:pPr>
      <w:r w:rsidRPr="004875DE">
        <w:rPr>
          <w:rFonts w:ascii="Arial" w:hAnsi="Arial" w:cs="Arial"/>
          <w:szCs w:val="22"/>
          <w:lang w:eastAsia="en-GB"/>
        </w:rPr>
        <w:t>The Westminster Suite (8</w:t>
      </w:r>
      <w:r w:rsidRPr="004875DE">
        <w:rPr>
          <w:rFonts w:ascii="Arial" w:hAnsi="Arial" w:cs="Arial"/>
          <w:szCs w:val="22"/>
          <w:vertAlign w:val="superscript"/>
          <w:lang w:eastAsia="en-GB"/>
        </w:rPr>
        <w:t>th</w:t>
      </w:r>
      <w:r w:rsidRPr="004875DE">
        <w:rPr>
          <w:rFonts w:ascii="Arial" w:hAnsi="Arial" w:cs="Arial"/>
          <w:szCs w:val="22"/>
          <w:lang w:eastAsia="en-GB"/>
        </w:rPr>
        <w:t xml:space="preserve"> Floor)</w:t>
      </w:r>
      <w:r>
        <w:rPr>
          <w:rFonts w:ascii="Arial" w:hAnsi="Arial" w:cs="Arial"/>
          <w:szCs w:val="22"/>
          <w:lang w:eastAsia="en-GB"/>
        </w:rPr>
        <w:t xml:space="preserve">, </w:t>
      </w:r>
      <w:r w:rsidRPr="004875DE">
        <w:rPr>
          <w:rFonts w:ascii="Arial" w:hAnsi="Arial" w:cs="Arial"/>
          <w:szCs w:val="22"/>
          <w:lang w:eastAsia="en-GB"/>
        </w:rPr>
        <w:t>Local Government Hous</w:t>
      </w:r>
      <w:r>
        <w:rPr>
          <w:rFonts w:ascii="Arial" w:hAnsi="Arial" w:cs="Arial"/>
          <w:szCs w:val="22"/>
          <w:lang w:eastAsia="en-GB"/>
        </w:rPr>
        <w:t>e</w:t>
      </w:r>
    </w:p>
    <w:p w14:paraId="7C85EAB7" w14:textId="77777777" w:rsidR="00D14BC5" w:rsidRDefault="00D14BC5"/>
    <w:sectPr w:rsidR="00D14BC5" w:rsidSect="00167363">
      <w:headerReference w:type="default" r:id="rId8"/>
      <w:footerReference w:type="default" r:id="rId9"/>
      <w:headerReference w:type="first" r:id="rId10"/>
      <w:pgSz w:w="11906" w:h="16838" w:code="9"/>
      <w:pgMar w:top="1440" w:right="1416" w:bottom="1134" w:left="1440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5EABA" w14:textId="77777777" w:rsidR="00E164DE" w:rsidRDefault="00E164DE" w:rsidP="00794A6E">
      <w:r>
        <w:separator/>
      </w:r>
    </w:p>
  </w:endnote>
  <w:endnote w:type="continuationSeparator" w:id="0">
    <w:p w14:paraId="7C85EABB" w14:textId="77777777" w:rsidR="00E164DE" w:rsidRDefault="00E164DE" w:rsidP="0079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5EAC4" w14:textId="77777777" w:rsidR="005C70B3" w:rsidRDefault="00AD5E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5EAB8" w14:textId="77777777" w:rsidR="00E164DE" w:rsidRDefault="00E164DE" w:rsidP="00794A6E">
      <w:r>
        <w:separator/>
      </w:r>
    </w:p>
  </w:footnote>
  <w:footnote w:type="continuationSeparator" w:id="0">
    <w:p w14:paraId="7C85EAB9" w14:textId="77777777" w:rsidR="00E164DE" w:rsidRDefault="00E164DE" w:rsidP="00794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765"/>
      <w:gridCol w:w="3501"/>
    </w:tblGrid>
    <w:tr w:rsidR="00AE1D2B" w:rsidRPr="004875DE" w14:paraId="7C85EABE" w14:textId="77777777" w:rsidTr="003C2855">
      <w:tc>
        <w:tcPr>
          <w:tcW w:w="5778" w:type="dxa"/>
          <w:vMerge w:val="restart"/>
        </w:tcPr>
        <w:p w14:paraId="7C85EABC" w14:textId="77777777" w:rsidR="00AE1D2B" w:rsidRPr="004875DE" w:rsidRDefault="00D238F1" w:rsidP="003C2855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  <w:lang w:eastAsia="en-GB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eastAsia="en-GB"/>
            </w:rPr>
            <w:drawing>
              <wp:inline distT="0" distB="0" distL="0" distR="0" wp14:anchorId="7C85EAD0" wp14:editId="7C85EAD1">
                <wp:extent cx="1314450" cy="781050"/>
                <wp:effectExtent l="0" t="0" r="0" b="0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vAlign w:val="center"/>
        </w:tcPr>
        <w:p w14:paraId="7C85EABD" w14:textId="77777777" w:rsidR="00AE1D2B" w:rsidRPr="004875DE" w:rsidRDefault="00F258EF" w:rsidP="003C2855">
          <w:pPr>
            <w:tabs>
              <w:tab w:val="center" w:pos="4153"/>
              <w:tab w:val="right" w:pos="8306"/>
            </w:tabs>
            <w:spacing w:line="360" w:lineRule="auto"/>
            <w:rPr>
              <w:rFonts w:ascii="Frutiger 45 Light" w:hAnsi="Frutiger 45 Light"/>
              <w:b/>
              <w:sz w:val="22"/>
              <w:szCs w:val="22"/>
              <w:lang w:eastAsia="en-GB"/>
            </w:rPr>
          </w:pPr>
          <w:r w:rsidRPr="004875DE">
            <w:rPr>
              <w:rFonts w:ascii="Arial" w:hAnsi="Arial" w:cs="Arial"/>
              <w:b/>
              <w:sz w:val="22"/>
              <w:szCs w:val="22"/>
              <w:lang w:eastAsia="en-GB"/>
            </w:rPr>
            <w:t>Councillors’ Forum</w:t>
          </w:r>
        </w:p>
      </w:tc>
    </w:tr>
    <w:tr w:rsidR="00AE1D2B" w:rsidRPr="00AE1D2B" w14:paraId="7C85EAC2" w14:textId="77777777" w:rsidTr="003C2855">
      <w:trPr>
        <w:trHeight w:val="450"/>
      </w:trPr>
      <w:tc>
        <w:tcPr>
          <w:tcW w:w="5778" w:type="dxa"/>
          <w:vMerge/>
        </w:tcPr>
        <w:p w14:paraId="7C85EABF" w14:textId="77777777" w:rsidR="00AE1D2B" w:rsidRPr="004875DE" w:rsidRDefault="00AD5E6B" w:rsidP="003C2855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2"/>
              <w:lang w:eastAsia="en-GB"/>
            </w:rPr>
          </w:pPr>
        </w:p>
      </w:tc>
      <w:tc>
        <w:tcPr>
          <w:tcW w:w="3509" w:type="dxa"/>
          <w:vAlign w:val="center"/>
        </w:tcPr>
        <w:p w14:paraId="7C85EAC0" w14:textId="65A8E4C3" w:rsidR="00AE1D2B" w:rsidRDefault="00AD5E6B" w:rsidP="003C2855">
          <w:pPr>
            <w:tabs>
              <w:tab w:val="center" w:pos="4153"/>
              <w:tab w:val="right" w:pos="8306"/>
            </w:tabs>
            <w:spacing w:before="60" w:line="360" w:lineRule="auto"/>
            <w:rPr>
              <w:rFonts w:ascii="Arial" w:hAnsi="Arial" w:cs="Arial"/>
              <w:sz w:val="22"/>
              <w:szCs w:val="22"/>
              <w:lang w:eastAsia="en-GB"/>
            </w:rPr>
          </w:pPr>
          <w:r>
            <w:rPr>
              <w:rFonts w:ascii="Arial" w:hAnsi="Arial" w:cs="Arial"/>
              <w:sz w:val="22"/>
              <w:szCs w:val="22"/>
              <w:lang w:eastAsia="en-GB"/>
            </w:rPr>
            <w:t>20 February 2014</w:t>
          </w:r>
        </w:p>
        <w:p w14:paraId="7C85EAC1" w14:textId="1B5CE748" w:rsidR="00AE1D2B" w:rsidRPr="004854F9" w:rsidRDefault="00AD5E6B" w:rsidP="006F668D">
          <w:pPr>
            <w:tabs>
              <w:tab w:val="center" w:pos="4153"/>
              <w:tab w:val="right" w:pos="8306"/>
            </w:tabs>
            <w:spacing w:before="60" w:line="360" w:lineRule="auto"/>
            <w:rPr>
              <w:rFonts w:ascii="Arial" w:hAnsi="Arial" w:cs="Arial"/>
              <w:b/>
              <w:sz w:val="22"/>
              <w:szCs w:val="22"/>
              <w:lang w:eastAsia="en-GB"/>
            </w:rPr>
          </w:pPr>
        </w:p>
      </w:tc>
    </w:tr>
  </w:tbl>
  <w:p w14:paraId="7C85EAC3" w14:textId="77777777" w:rsidR="00AE1D2B" w:rsidRDefault="00AD5E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765"/>
      <w:gridCol w:w="3501"/>
    </w:tblGrid>
    <w:tr w:rsidR="004875DE" w:rsidRPr="004875DE" w14:paraId="7C85EAC7" w14:textId="77777777" w:rsidTr="004875DE">
      <w:tc>
        <w:tcPr>
          <w:tcW w:w="5778" w:type="dxa"/>
          <w:vMerge w:val="restart"/>
        </w:tcPr>
        <w:p w14:paraId="7C85EAC5" w14:textId="77777777" w:rsidR="004875DE" w:rsidRPr="004875DE" w:rsidRDefault="00D238F1" w:rsidP="004875DE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  <w:lang w:eastAsia="en-GB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eastAsia="en-GB"/>
            </w:rPr>
            <w:drawing>
              <wp:inline distT="0" distB="0" distL="0" distR="0" wp14:anchorId="7C85EAD2" wp14:editId="7C85EAD3">
                <wp:extent cx="1314450" cy="78105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vAlign w:val="center"/>
        </w:tcPr>
        <w:p w14:paraId="7C85EAC6" w14:textId="77777777" w:rsidR="004875DE" w:rsidRPr="004875DE" w:rsidRDefault="00F258EF" w:rsidP="00AE1D2B">
          <w:pPr>
            <w:tabs>
              <w:tab w:val="center" w:pos="4153"/>
              <w:tab w:val="right" w:pos="8306"/>
            </w:tabs>
            <w:spacing w:line="360" w:lineRule="auto"/>
            <w:rPr>
              <w:rFonts w:ascii="Frutiger 45 Light" w:hAnsi="Frutiger 45 Light"/>
              <w:b/>
              <w:sz w:val="22"/>
              <w:szCs w:val="22"/>
              <w:lang w:eastAsia="en-GB"/>
            </w:rPr>
          </w:pPr>
          <w:r w:rsidRPr="004875DE">
            <w:rPr>
              <w:rFonts w:ascii="Arial" w:hAnsi="Arial" w:cs="Arial"/>
              <w:b/>
              <w:sz w:val="22"/>
              <w:szCs w:val="22"/>
              <w:lang w:eastAsia="en-GB"/>
            </w:rPr>
            <w:t>Councillors’ Forum</w:t>
          </w:r>
        </w:p>
      </w:tc>
    </w:tr>
    <w:tr w:rsidR="004875DE" w:rsidRPr="004875DE" w14:paraId="7C85EACB" w14:textId="77777777" w:rsidTr="004875DE">
      <w:trPr>
        <w:trHeight w:val="450"/>
      </w:trPr>
      <w:tc>
        <w:tcPr>
          <w:tcW w:w="5778" w:type="dxa"/>
          <w:vMerge/>
        </w:tcPr>
        <w:p w14:paraId="7C85EAC8" w14:textId="77777777" w:rsidR="004875DE" w:rsidRPr="004875DE" w:rsidRDefault="00AD5E6B" w:rsidP="004875DE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2"/>
              <w:lang w:eastAsia="en-GB"/>
            </w:rPr>
          </w:pPr>
        </w:p>
      </w:tc>
      <w:tc>
        <w:tcPr>
          <w:tcW w:w="3509" w:type="dxa"/>
          <w:vAlign w:val="center"/>
        </w:tcPr>
        <w:p w14:paraId="7C85EAC9" w14:textId="7A696740" w:rsidR="004875DE" w:rsidRDefault="00AD5E6B" w:rsidP="00AE1D2B">
          <w:pPr>
            <w:tabs>
              <w:tab w:val="center" w:pos="4153"/>
              <w:tab w:val="right" w:pos="8306"/>
            </w:tabs>
            <w:spacing w:before="60" w:line="360" w:lineRule="auto"/>
            <w:rPr>
              <w:rFonts w:ascii="Arial" w:hAnsi="Arial" w:cs="Arial"/>
              <w:sz w:val="22"/>
              <w:szCs w:val="22"/>
              <w:lang w:eastAsia="en-GB"/>
            </w:rPr>
          </w:pPr>
          <w:r>
            <w:rPr>
              <w:rFonts w:ascii="Arial" w:hAnsi="Arial" w:cs="Arial"/>
              <w:sz w:val="22"/>
              <w:szCs w:val="22"/>
              <w:lang w:eastAsia="en-GB"/>
            </w:rPr>
            <w:t>20 February 2014</w:t>
          </w:r>
        </w:p>
        <w:p w14:paraId="7C85EACA" w14:textId="38AB0E24" w:rsidR="00AE1D2B" w:rsidRPr="00453581" w:rsidRDefault="00AD5E6B" w:rsidP="00435A9C">
          <w:pPr>
            <w:tabs>
              <w:tab w:val="center" w:pos="4153"/>
              <w:tab w:val="right" w:pos="8306"/>
            </w:tabs>
            <w:spacing w:before="60" w:line="360" w:lineRule="auto"/>
            <w:rPr>
              <w:rFonts w:ascii="Arial" w:hAnsi="Arial" w:cs="Arial"/>
              <w:b/>
              <w:sz w:val="22"/>
              <w:szCs w:val="22"/>
              <w:lang w:eastAsia="en-GB"/>
            </w:rPr>
          </w:pPr>
        </w:p>
      </w:tc>
    </w:tr>
    <w:tr w:rsidR="004875DE" w:rsidRPr="004875DE" w14:paraId="7C85EACE" w14:textId="77777777" w:rsidTr="004875DE">
      <w:trPr>
        <w:trHeight w:val="584"/>
      </w:trPr>
      <w:tc>
        <w:tcPr>
          <w:tcW w:w="5778" w:type="dxa"/>
          <w:vMerge/>
        </w:tcPr>
        <w:p w14:paraId="7C85EACC" w14:textId="77777777" w:rsidR="004875DE" w:rsidRPr="004875DE" w:rsidRDefault="00AD5E6B" w:rsidP="004875DE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2"/>
              <w:lang w:eastAsia="en-GB"/>
            </w:rPr>
          </w:pPr>
        </w:p>
      </w:tc>
      <w:tc>
        <w:tcPr>
          <w:tcW w:w="3509" w:type="dxa"/>
          <w:vAlign w:val="center"/>
        </w:tcPr>
        <w:p w14:paraId="7C85EACD" w14:textId="77777777" w:rsidR="004875DE" w:rsidRPr="004875DE" w:rsidRDefault="00AD5E6B" w:rsidP="004875DE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  <w:sz w:val="22"/>
              <w:szCs w:val="22"/>
              <w:lang w:eastAsia="en-GB"/>
            </w:rPr>
          </w:pPr>
        </w:p>
      </w:tc>
    </w:tr>
  </w:tbl>
  <w:p w14:paraId="7C85EACF" w14:textId="77777777" w:rsidR="005C70B3" w:rsidRPr="004875DE" w:rsidRDefault="00AD5E6B" w:rsidP="004875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454F"/>
    <w:multiLevelType w:val="hybridMultilevel"/>
    <w:tmpl w:val="5BDA5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E3A36"/>
    <w:multiLevelType w:val="hybridMultilevel"/>
    <w:tmpl w:val="EDB0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D39B2"/>
    <w:multiLevelType w:val="hybridMultilevel"/>
    <w:tmpl w:val="26841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E12DF"/>
    <w:multiLevelType w:val="hybridMultilevel"/>
    <w:tmpl w:val="67D8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82156"/>
    <w:multiLevelType w:val="hybridMultilevel"/>
    <w:tmpl w:val="32F08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616CC"/>
    <w:multiLevelType w:val="hybridMultilevel"/>
    <w:tmpl w:val="1158A464"/>
    <w:lvl w:ilvl="0" w:tplc="D8E2FA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A0848"/>
    <w:multiLevelType w:val="hybridMultilevel"/>
    <w:tmpl w:val="D79E7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30F1E"/>
    <w:multiLevelType w:val="hybridMultilevel"/>
    <w:tmpl w:val="51E2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F1"/>
    <w:rsid w:val="00024234"/>
    <w:rsid w:val="00041F1E"/>
    <w:rsid w:val="00062AE8"/>
    <w:rsid w:val="00156F8B"/>
    <w:rsid w:val="00167363"/>
    <w:rsid w:val="002046D8"/>
    <w:rsid w:val="00204D97"/>
    <w:rsid w:val="00257B03"/>
    <w:rsid w:val="0029702D"/>
    <w:rsid w:val="0034441C"/>
    <w:rsid w:val="0035588D"/>
    <w:rsid w:val="003870B0"/>
    <w:rsid w:val="003B44D5"/>
    <w:rsid w:val="003E13F4"/>
    <w:rsid w:val="003E20C2"/>
    <w:rsid w:val="003F7A17"/>
    <w:rsid w:val="00435A9C"/>
    <w:rsid w:val="00453581"/>
    <w:rsid w:val="00476D5A"/>
    <w:rsid w:val="004854F9"/>
    <w:rsid w:val="0069421D"/>
    <w:rsid w:val="006D7F6B"/>
    <w:rsid w:val="006F668D"/>
    <w:rsid w:val="00765C6C"/>
    <w:rsid w:val="00794A6E"/>
    <w:rsid w:val="007A566C"/>
    <w:rsid w:val="007E3A87"/>
    <w:rsid w:val="008A5BF2"/>
    <w:rsid w:val="008A7B91"/>
    <w:rsid w:val="008C4469"/>
    <w:rsid w:val="00912A08"/>
    <w:rsid w:val="00943E87"/>
    <w:rsid w:val="009D18CB"/>
    <w:rsid w:val="00A53E43"/>
    <w:rsid w:val="00A90464"/>
    <w:rsid w:val="00AA45EE"/>
    <w:rsid w:val="00AD5E6B"/>
    <w:rsid w:val="00B050A0"/>
    <w:rsid w:val="00B746F1"/>
    <w:rsid w:val="00BC27C2"/>
    <w:rsid w:val="00C37639"/>
    <w:rsid w:val="00C4047D"/>
    <w:rsid w:val="00C77014"/>
    <w:rsid w:val="00D14BC5"/>
    <w:rsid w:val="00D238F1"/>
    <w:rsid w:val="00D31D65"/>
    <w:rsid w:val="00E164DE"/>
    <w:rsid w:val="00E36D37"/>
    <w:rsid w:val="00E843B0"/>
    <w:rsid w:val="00E87BB7"/>
    <w:rsid w:val="00F1670A"/>
    <w:rsid w:val="00F258EF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85E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3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238F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23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38F1"/>
    <w:rPr>
      <w:rFonts w:ascii="Times New Roman" w:eastAsia="Times New Roman" w:hAnsi="Times New Roman" w:cs="Times New Roman"/>
      <w:sz w:val="24"/>
      <w:szCs w:val="20"/>
    </w:rPr>
  </w:style>
  <w:style w:type="paragraph" w:customStyle="1" w:styleId="MainText">
    <w:name w:val="Main Text"/>
    <w:basedOn w:val="Normal"/>
    <w:link w:val="MainTextChar"/>
    <w:rsid w:val="00D238F1"/>
    <w:pPr>
      <w:tabs>
        <w:tab w:val="right" w:pos="9923"/>
      </w:tabs>
      <w:spacing w:line="280" w:lineRule="exact"/>
    </w:pPr>
    <w:rPr>
      <w:rFonts w:ascii="Frutiger 45 Light" w:hAnsi="Frutiger 45 Light"/>
      <w:sz w:val="22"/>
    </w:rPr>
  </w:style>
  <w:style w:type="paragraph" w:customStyle="1" w:styleId="CtteeName">
    <w:name w:val="CtteeName"/>
    <w:basedOn w:val="Normal"/>
    <w:rsid w:val="00D238F1"/>
    <w:pPr>
      <w:spacing w:line="400" w:lineRule="exact"/>
    </w:pPr>
    <w:rPr>
      <w:rFonts w:ascii="Frutiger 55 Roman" w:hAnsi="Frutiger 55 Roman"/>
      <w:b/>
    </w:rPr>
  </w:style>
  <w:style w:type="paragraph" w:customStyle="1" w:styleId="Locationetc">
    <w:name w:val="Locationetc"/>
    <w:basedOn w:val="Normal"/>
    <w:rsid w:val="00D238F1"/>
    <w:pPr>
      <w:spacing w:line="280" w:lineRule="exact"/>
    </w:pPr>
    <w:rPr>
      <w:rFonts w:ascii="Frutiger 45 Light" w:hAnsi="Frutiger 45 Light"/>
      <w:sz w:val="22"/>
    </w:rPr>
  </w:style>
  <w:style w:type="paragraph" w:customStyle="1" w:styleId="Agenda">
    <w:name w:val="Agenda"/>
    <w:basedOn w:val="Normal"/>
    <w:rsid w:val="00D238F1"/>
    <w:pPr>
      <w:spacing w:after="80"/>
    </w:pPr>
    <w:rPr>
      <w:rFonts w:ascii="Frutiger 55 Roman" w:hAnsi="Frutiger 55 Roman"/>
      <w:b/>
      <w:sz w:val="32"/>
    </w:rPr>
  </w:style>
  <w:style w:type="character" w:customStyle="1" w:styleId="MainTextChar">
    <w:name w:val="Main Text Char"/>
    <w:link w:val="MainText"/>
    <w:rsid w:val="00D238F1"/>
    <w:rPr>
      <w:rFonts w:ascii="Frutiger 45 Light" w:eastAsia="Times New Roman" w:hAnsi="Frutiger 45 Light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6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3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238F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23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38F1"/>
    <w:rPr>
      <w:rFonts w:ascii="Times New Roman" w:eastAsia="Times New Roman" w:hAnsi="Times New Roman" w:cs="Times New Roman"/>
      <w:sz w:val="24"/>
      <w:szCs w:val="20"/>
    </w:rPr>
  </w:style>
  <w:style w:type="paragraph" w:customStyle="1" w:styleId="MainText">
    <w:name w:val="Main Text"/>
    <w:basedOn w:val="Normal"/>
    <w:link w:val="MainTextChar"/>
    <w:rsid w:val="00D238F1"/>
    <w:pPr>
      <w:tabs>
        <w:tab w:val="right" w:pos="9923"/>
      </w:tabs>
      <w:spacing w:line="280" w:lineRule="exact"/>
    </w:pPr>
    <w:rPr>
      <w:rFonts w:ascii="Frutiger 45 Light" w:hAnsi="Frutiger 45 Light"/>
      <w:sz w:val="22"/>
    </w:rPr>
  </w:style>
  <w:style w:type="paragraph" w:customStyle="1" w:styleId="CtteeName">
    <w:name w:val="CtteeName"/>
    <w:basedOn w:val="Normal"/>
    <w:rsid w:val="00D238F1"/>
    <w:pPr>
      <w:spacing w:line="400" w:lineRule="exact"/>
    </w:pPr>
    <w:rPr>
      <w:rFonts w:ascii="Frutiger 55 Roman" w:hAnsi="Frutiger 55 Roman"/>
      <w:b/>
    </w:rPr>
  </w:style>
  <w:style w:type="paragraph" w:customStyle="1" w:styleId="Locationetc">
    <w:name w:val="Locationetc"/>
    <w:basedOn w:val="Normal"/>
    <w:rsid w:val="00D238F1"/>
    <w:pPr>
      <w:spacing w:line="280" w:lineRule="exact"/>
    </w:pPr>
    <w:rPr>
      <w:rFonts w:ascii="Frutiger 45 Light" w:hAnsi="Frutiger 45 Light"/>
      <w:sz w:val="22"/>
    </w:rPr>
  </w:style>
  <w:style w:type="paragraph" w:customStyle="1" w:styleId="Agenda">
    <w:name w:val="Agenda"/>
    <w:basedOn w:val="Normal"/>
    <w:rsid w:val="00D238F1"/>
    <w:pPr>
      <w:spacing w:after="80"/>
    </w:pPr>
    <w:rPr>
      <w:rFonts w:ascii="Frutiger 55 Roman" w:hAnsi="Frutiger 55 Roman"/>
      <w:b/>
      <w:sz w:val="32"/>
    </w:rPr>
  </w:style>
  <w:style w:type="character" w:customStyle="1" w:styleId="MainTextChar">
    <w:name w:val="Main Text Char"/>
    <w:link w:val="MainText"/>
    <w:rsid w:val="00D238F1"/>
    <w:rPr>
      <w:rFonts w:ascii="Frutiger 45 Light" w:eastAsia="Times New Roman" w:hAnsi="Frutiger 45 Light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6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Hirsch</dc:creator>
  <cp:lastModifiedBy>Donna Davidson</cp:lastModifiedBy>
  <cp:revision>2</cp:revision>
  <dcterms:created xsi:type="dcterms:W3CDTF">2014-02-06T16:08:00Z</dcterms:created>
  <dcterms:modified xsi:type="dcterms:W3CDTF">2014-02-06T16:08:00Z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C.Type">
    <vt:lpwstr>Agenda item</vt:lpwstr>
  </op:property>
  <op:property fmtid="{D5CDD505-2E9C-101B-9397-08002B2CF9AE}" pid="3" name="DC.identifier">
    <vt:lpwstr>LGA</vt:lpwstr>
  </op:property>
  <op:property fmtid="{D5CDD505-2E9C-101B-9397-08002B2CF9AE}" pid="4" name="DC.Author">
    <vt:lpwstr>Donna Hirsch</vt:lpwstr>
  </op:property>
  <op:property fmtid="{D5CDD505-2E9C-101B-9397-08002B2CF9AE}" pid="5" name="DC.creator">
    <vt:lpwstr>GSS1\donna.hirsch</vt:lpwstr>
  </op:property>
  <op:property fmtid="{D5CDD505-2E9C-101B-9397-08002B2CF9AE}" pid="6" name="eGMS.accessibility">
    <vt:lpwstr>WCAG:Double-A</vt:lpwstr>
  </op:property>
  <op:property fmtid="{D5CDD505-2E9C-101B-9397-08002B2CF9AE}" pid="7" name="DC.Language">
    <vt:lpwstr>eng</vt:lpwstr>
  </op:property>
  <op:property fmtid="{D5CDD505-2E9C-101B-9397-08002B2CF9AE}" pid="8" name="DC.Description">
    <vt:lpwstr/>
  </op:property>
  <op:property fmtid="{D5CDD505-2E9C-101B-9397-08002B2CF9AE}" pid="9" name="DC.date.issued">
    <vt:lpwstr>2013-10-03T00:00:00Z</vt:lpwstr>
  </op:property>
  <op:property fmtid="{D5CDD505-2E9C-101B-9397-08002B2CF9AE}" pid="10" name="e-GMS.subject.keyword">
    <vt:lpwstr>Policy Review Groups,</vt:lpwstr>
  </op:property>
  <op:property fmtid="{D5CDD505-2E9C-101B-9397-08002B2CF9AE}" pid="11" name="Date">
    <vt:lpwstr>2013-10-03T00:00:00Z</vt:lpwstr>
  </op:property>
  <op:property fmtid="{D5CDD505-2E9C-101B-9397-08002B2CF9AE}" pid="12" name="Title">
    <vt:lpwstr>November Digest</vt:lpwstr>
  </op:property>
  <op:property fmtid="{D5CDD505-2E9C-101B-9397-08002B2CF9AE}" pid="13" name="Keywords">
    <vt:lpwstr>Council meetings;Government, politics and public administration; Local government; Decision making; Council meetings;</vt:lpwstr>
  </op:property>
  <op:property fmtid="{D5CDD505-2E9C-101B-9397-08002B2CF9AE}" pid="14" name="Author">
    <vt:lpwstr>Your council</vt:lpwstr>
  </op:property>
</op:Properties>
</file>